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95" w:rsidRDefault="00EE3628">
      <w:r>
        <w:rPr>
          <w:noProof/>
          <w:lang w:eastAsia="el-GR"/>
        </w:rPr>
        <w:pict>
          <v:rect id="_x0000_s1027" style="position:absolute;margin-left:30.75pt;margin-top:-43.5pt;width:328.5pt;height:84pt;z-index:251658240">
            <v:textbox>
              <w:txbxContent>
                <w:p w:rsidR="00A63C33" w:rsidRDefault="00A63C33" w:rsidP="00A63C33">
                  <w:pPr>
                    <w:spacing w:after="12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EUROPEAN COMMISSION</w:t>
                  </w:r>
                </w:p>
                <w:p w:rsidR="00A63C33" w:rsidRPr="00A63C33" w:rsidRDefault="00A63C33" w:rsidP="00A63C33">
                  <w:pPr>
                    <w:spacing w:after="12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63C33">
                    <w:rPr>
                      <w:sz w:val="24"/>
                      <w:szCs w:val="24"/>
                      <w:lang w:val="en-US"/>
                    </w:rPr>
                    <w:t>D</w:t>
                  </w:r>
                  <w:r w:rsidR="004E0E5C">
                    <w:rPr>
                      <w:sz w:val="24"/>
                      <w:szCs w:val="24"/>
                      <w:lang w:val="en-US"/>
                    </w:rPr>
                    <w:t>IRECTORATE GENERAL-HOME AFFAIRS</w:t>
                  </w:r>
                </w:p>
                <w:p w:rsidR="004E0E5C" w:rsidRDefault="004E0E5C" w:rsidP="00A63C33">
                  <w:pPr>
                    <w:spacing w:after="12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EMERGENCY ASSISTANCE-EXTERNAL BORDERS FUND </w:t>
                  </w:r>
                </w:p>
                <w:p w:rsidR="00A63C33" w:rsidRDefault="004E0E5C" w:rsidP="00A63C33">
                  <w:pPr>
                    <w:spacing w:after="12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COMMUNITY ACTIONS 2011</w:t>
                  </w:r>
                </w:p>
                <w:p w:rsidR="004E0E5C" w:rsidRPr="00A63C33" w:rsidRDefault="004E0E5C" w:rsidP="004E0E5C">
                  <w:pPr>
                    <w:spacing w:after="120" w:line="240" w:lineRule="auto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ect>
        </w:pict>
      </w:r>
    </w:p>
    <w:p w:rsidR="00FF5E95" w:rsidRPr="00FF5E95" w:rsidRDefault="00EE3628" w:rsidP="00FF5E95"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189pt;margin-top:15.05pt;width:0;height:35.25pt;z-index:251675648" o:connectortype="straight">
            <v:stroke endarrow="block"/>
          </v:shape>
        </w:pict>
      </w:r>
    </w:p>
    <w:p w:rsidR="00FF5E95" w:rsidRPr="00FF5E95" w:rsidRDefault="00EE3628" w:rsidP="00FF5E95">
      <w:r>
        <w:rPr>
          <w:noProof/>
          <w:lang w:eastAsia="el-GR"/>
        </w:rPr>
        <w:pict>
          <v:oval id="_x0000_s1031" style="position:absolute;margin-left:93pt;margin-top:24.85pt;width:183.75pt;height:147.75pt;z-index:251660288">
            <v:textbox style="mso-next-textbox:#_x0000_s1031">
              <w:txbxContent>
                <w:p w:rsidR="00782AEA" w:rsidRDefault="004E0E5C" w:rsidP="00782AE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‘’SIS II- Urgent Action Cyprus</w:t>
                  </w:r>
                  <w:r w:rsidR="00782AEA">
                    <w:rPr>
                      <w:lang w:val="en-US"/>
                    </w:rPr>
                    <w:t>”</w:t>
                  </w:r>
                </w:p>
                <w:p w:rsidR="000C3850" w:rsidRDefault="000C3850" w:rsidP="00782AE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Upgrading the existing national system</w:t>
                  </w:r>
                </w:p>
                <w:p w:rsidR="000C3850" w:rsidRDefault="000C3850" w:rsidP="00782AE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1/12/2011-28/02/2013</w:t>
                  </w:r>
                </w:p>
                <w:p w:rsidR="000C3850" w:rsidRDefault="000C3850" w:rsidP="000C3850">
                  <w:pPr>
                    <w:rPr>
                      <w:lang w:val="en-US"/>
                    </w:rPr>
                  </w:pPr>
                </w:p>
                <w:p w:rsidR="000C3850" w:rsidRDefault="000C3850" w:rsidP="00782AEA">
                  <w:pPr>
                    <w:jc w:val="center"/>
                    <w:rPr>
                      <w:lang w:val="en-US"/>
                    </w:rPr>
                  </w:pPr>
                </w:p>
                <w:p w:rsidR="000C3850" w:rsidRDefault="000C3850" w:rsidP="00782AEA">
                  <w:pPr>
                    <w:jc w:val="center"/>
                    <w:rPr>
                      <w:lang w:val="en-US"/>
                    </w:rPr>
                  </w:pPr>
                </w:p>
                <w:p w:rsidR="00782AEA" w:rsidRDefault="00782AEA" w:rsidP="00782AEA">
                  <w:pPr>
                    <w:spacing w:after="120" w:line="240" w:lineRule="auto"/>
                    <w:jc w:val="center"/>
                    <w:rPr>
                      <w:lang w:val="en-US"/>
                    </w:rPr>
                  </w:pPr>
                </w:p>
                <w:p w:rsidR="00782AEA" w:rsidRPr="00391B9A" w:rsidRDefault="00782AEA" w:rsidP="00782AEA">
                  <w:pPr>
                    <w:spacing w:after="120" w:line="240" w:lineRule="auto"/>
                    <w:jc w:val="center"/>
                    <w:rPr>
                      <w:lang w:val="en-US"/>
                    </w:rPr>
                  </w:pPr>
                  <w:r w:rsidRPr="00391B9A">
                    <w:rPr>
                      <w:lang w:val="en-US"/>
                    </w:rPr>
                    <w:t>01/12/2011-28/02/2013</w:t>
                  </w:r>
                </w:p>
                <w:p w:rsidR="006353D8" w:rsidRDefault="006353D8" w:rsidP="00F41E51">
                  <w:pPr>
                    <w:jc w:val="center"/>
                    <w:rPr>
                      <w:lang w:val="en-US"/>
                    </w:rPr>
                  </w:pPr>
                </w:p>
                <w:p w:rsidR="006353D8" w:rsidRDefault="006353D8" w:rsidP="00F41E51">
                  <w:pPr>
                    <w:jc w:val="center"/>
                    <w:rPr>
                      <w:lang w:val="en-US"/>
                    </w:rPr>
                  </w:pPr>
                </w:p>
                <w:p w:rsidR="006353D8" w:rsidRDefault="006353D8" w:rsidP="00F41E51">
                  <w:pPr>
                    <w:jc w:val="center"/>
                    <w:rPr>
                      <w:lang w:val="en-US"/>
                    </w:rPr>
                  </w:pPr>
                </w:p>
                <w:p w:rsidR="001A2BFF" w:rsidRDefault="001A2BFF" w:rsidP="00F41E51">
                  <w:pPr>
                    <w:jc w:val="center"/>
                    <w:rPr>
                      <w:lang w:val="en-US"/>
                    </w:rPr>
                  </w:pPr>
                </w:p>
                <w:p w:rsidR="001A2BFF" w:rsidRPr="00F41E51" w:rsidRDefault="001A2BFF" w:rsidP="00F41E51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oval>
        </w:pict>
      </w:r>
    </w:p>
    <w:p w:rsidR="00FF5E95" w:rsidRPr="00FF5E95" w:rsidRDefault="00FF5E95" w:rsidP="00FF5E95"/>
    <w:p w:rsidR="00FF5E95" w:rsidRPr="00FF5E95" w:rsidRDefault="00FF5E95" w:rsidP="00FF5E95"/>
    <w:p w:rsidR="00FF5E95" w:rsidRPr="00FF5E95" w:rsidRDefault="00FF5E95" w:rsidP="00FF5E95"/>
    <w:p w:rsidR="00FF5E95" w:rsidRPr="00FF5E95" w:rsidRDefault="00FF5E95" w:rsidP="00FF5E95"/>
    <w:p w:rsidR="00FF5E95" w:rsidRPr="00FF5E95" w:rsidRDefault="00FF5E95" w:rsidP="00FF5E95"/>
    <w:p w:rsidR="00FF5E95" w:rsidRPr="00FF5E95" w:rsidRDefault="00D524D1" w:rsidP="00FF5E95">
      <w:r>
        <w:rPr>
          <w:noProof/>
          <w:lang w:eastAsia="el-GR"/>
        </w:rPr>
        <w:pict>
          <v:shape id="_x0000_s1085" type="#_x0000_t32" style="position:absolute;margin-left:189pt;margin-top:19.95pt;width:0;height:148.5pt;z-index:251678720" o:connectortype="straight">
            <v:stroke endarrow="block"/>
          </v:shape>
        </w:pict>
      </w:r>
      <w:r w:rsidR="00291D3D">
        <w:rPr>
          <w:noProof/>
          <w:lang w:eastAsia="el-GR"/>
        </w:rPr>
        <w:pict>
          <v:shape id="_x0000_s1083" type="#_x0000_t32" style="position:absolute;margin-left:250.5pt;margin-top:2.7pt;width:43.5pt;height:44.25pt;z-index:251677696" o:connectortype="straight">
            <v:stroke endarrow="block"/>
          </v:shape>
        </w:pict>
      </w:r>
      <w:r w:rsidR="00F82383">
        <w:rPr>
          <w:noProof/>
          <w:lang w:eastAsia="el-GR"/>
        </w:rPr>
        <w:pict>
          <v:shape id="_x0000_s1082" type="#_x0000_t32" style="position:absolute;margin-left:81.75pt;margin-top:2.7pt;width:41.25pt;height:44.25pt;flip:x;z-index:251676672" o:connectortype="straight">
            <v:stroke endarrow="block"/>
          </v:shape>
        </w:pict>
      </w:r>
    </w:p>
    <w:p w:rsidR="00563EE7" w:rsidRDefault="00563EE7" w:rsidP="00563EE7">
      <w:pPr>
        <w:rPr>
          <w:lang w:val="en-US"/>
        </w:rPr>
      </w:pPr>
    </w:p>
    <w:p w:rsidR="00AF7324" w:rsidRPr="00782AEA" w:rsidRDefault="00AF7324" w:rsidP="00AF7324">
      <w:pPr>
        <w:rPr>
          <w:b/>
          <w:sz w:val="24"/>
          <w:szCs w:val="24"/>
          <w:lang w:val="en-US"/>
        </w:rPr>
      </w:pPr>
      <w:r w:rsidRPr="00AF7324">
        <w:rPr>
          <w:b/>
          <w:sz w:val="24"/>
          <w:szCs w:val="24"/>
          <w:lang w:val="en-US"/>
        </w:rPr>
        <w:t>NATIONAL PROJECT</w:t>
      </w:r>
      <w:r w:rsidR="00C63F2B">
        <w:rPr>
          <w:b/>
          <w:sz w:val="24"/>
          <w:szCs w:val="24"/>
          <w:lang w:val="en-US"/>
        </w:rPr>
        <w:t xml:space="preserve">                                                      </w:t>
      </w:r>
      <w:r w:rsidR="00C90143">
        <w:rPr>
          <w:b/>
          <w:sz w:val="24"/>
          <w:szCs w:val="24"/>
          <w:lang w:val="en-US"/>
        </w:rPr>
        <w:t xml:space="preserve">        </w:t>
      </w:r>
      <w:r w:rsidR="00C63F2B">
        <w:rPr>
          <w:b/>
          <w:sz w:val="24"/>
          <w:szCs w:val="24"/>
          <w:lang w:val="en-US"/>
        </w:rPr>
        <w:t xml:space="preserve"> </w:t>
      </w:r>
      <w:r w:rsidR="00C63F2B">
        <w:rPr>
          <w:lang w:val="en-US"/>
        </w:rPr>
        <w:t xml:space="preserve">Budget: € </w:t>
      </w:r>
      <w:r w:rsidR="00782AEA" w:rsidRPr="00782AEA">
        <w:rPr>
          <w:lang w:val="en-US"/>
        </w:rPr>
        <w:t>547.909,55</w:t>
      </w:r>
    </w:p>
    <w:p w:rsidR="00A76A64" w:rsidRPr="00782AEA" w:rsidRDefault="00481D69" w:rsidP="00AF7324">
      <w:pPr>
        <w:rPr>
          <w:lang w:val="en-US"/>
        </w:rPr>
      </w:pPr>
      <w:r>
        <w:rPr>
          <w:lang w:val="en-US"/>
        </w:rPr>
        <w:t xml:space="preserve">Police </w:t>
      </w:r>
      <w:r w:rsidR="00563EE7">
        <w:rPr>
          <w:lang w:val="en-US"/>
        </w:rPr>
        <w:t>Departments involved:</w:t>
      </w:r>
      <w:r w:rsidR="00C63F2B">
        <w:rPr>
          <w:lang w:val="en-US"/>
        </w:rPr>
        <w:t xml:space="preserve">                                            </w:t>
      </w:r>
      <w:r w:rsidR="00C63F2B" w:rsidRPr="00C63F2B">
        <w:rPr>
          <w:noProof/>
          <w:lang w:eastAsia="el-GR"/>
        </w:rPr>
        <w:drawing>
          <wp:inline distT="0" distB="0" distL="0" distR="0">
            <wp:extent cx="284284" cy="142875"/>
            <wp:effectExtent l="19050" t="0" r="1466" b="0"/>
            <wp:docPr id="4" name="il_fi" descr="http://www.flags.net/images/largeflags/EUUN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lags.net/images/largeflags/EUUN000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53" cy="147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3F2B">
        <w:rPr>
          <w:lang w:val="en-US"/>
        </w:rPr>
        <w:t xml:space="preserve">   </w:t>
      </w:r>
      <w:r w:rsidR="00C63F2B" w:rsidRPr="00AF7324">
        <w:rPr>
          <w:b/>
          <w:lang w:val="en-US"/>
        </w:rPr>
        <w:t xml:space="preserve">EC Contribution: </w:t>
      </w:r>
      <w:r w:rsidR="00FA6678">
        <w:rPr>
          <w:lang w:val="en-US"/>
        </w:rPr>
        <w:t>€</w:t>
      </w:r>
      <w:r w:rsidR="00C63F2B">
        <w:rPr>
          <w:lang w:val="en-US"/>
        </w:rPr>
        <w:t xml:space="preserve"> </w:t>
      </w:r>
      <w:r w:rsidR="00782AEA" w:rsidRPr="00782AEA">
        <w:rPr>
          <w:b/>
          <w:lang w:val="en-US"/>
        </w:rPr>
        <w:t>471.530,96</w:t>
      </w:r>
    </w:p>
    <w:p w:rsidR="00563EE7" w:rsidRPr="009C2338" w:rsidRDefault="00563EE7" w:rsidP="009C2338">
      <w:pPr>
        <w:pStyle w:val="ListParagraph"/>
        <w:numPr>
          <w:ilvl w:val="0"/>
          <w:numId w:val="3"/>
        </w:numPr>
        <w:spacing w:line="240" w:lineRule="auto"/>
        <w:rPr>
          <w:lang w:val="en-US"/>
        </w:rPr>
      </w:pPr>
      <w:r w:rsidRPr="009C2338">
        <w:rPr>
          <w:lang w:val="en-US"/>
        </w:rPr>
        <w:t>IT Department</w:t>
      </w:r>
      <w:r w:rsidR="00A76A64" w:rsidRPr="009C2338">
        <w:rPr>
          <w:lang w:val="en-US"/>
        </w:rPr>
        <w:t xml:space="preserve">       </w:t>
      </w:r>
      <w:r w:rsidR="00224C8E" w:rsidRPr="009C2338">
        <w:rPr>
          <w:lang w:val="en-US"/>
        </w:rPr>
        <w:t xml:space="preserve">                                                </w:t>
      </w:r>
      <w:r w:rsidR="00CA4F9C">
        <w:rPr>
          <w:rFonts w:ascii="Arial" w:hAnsi="Arial" w:cs="Arial"/>
          <w:noProof/>
          <w:sz w:val="20"/>
          <w:szCs w:val="20"/>
          <w:lang w:eastAsia="el-GR"/>
        </w:rPr>
        <w:drawing>
          <wp:inline distT="0" distB="0" distL="0" distR="0">
            <wp:extent cx="400050" cy="187523"/>
            <wp:effectExtent l="19050" t="0" r="0" b="0"/>
            <wp:docPr id="2" name="il_fi" descr="http://www.cyprusflag.net/images/cyprus-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yprusflag.net/images/cyprus-flag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8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4C8E" w:rsidRPr="009C2338">
        <w:rPr>
          <w:lang w:val="en-US"/>
        </w:rPr>
        <w:t>Public Allocation:   €</w:t>
      </w:r>
      <w:r w:rsidR="009C2338" w:rsidRPr="009C2338">
        <w:rPr>
          <w:lang w:val="en-US"/>
        </w:rPr>
        <w:t xml:space="preserve"> </w:t>
      </w:r>
      <w:r w:rsidR="00782AEA">
        <w:t>76.378,59</w:t>
      </w:r>
    </w:p>
    <w:p w:rsidR="00782AEA" w:rsidRDefault="00782AEA" w:rsidP="00782AEA">
      <w:pPr>
        <w:pStyle w:val="ListParagraph"/>
        <w:rPr>
          <w:lang w:val="en-US"/>
        </w:rPr>
      </w:pPr>
    </w:p>
    <w:p w:rsidR="00563EE7" w:rsidRPr="005C25B0" w:rsidRDefault="00026911" w:rsidP="00563EE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Finance Directorate</w:t>
      </w:r>
      <w:r w:rsidR="00782AEA">
        <w:rPr>
          <w:lang w:val="en-US"/>
        </w:rPr>
        <w:t xml:space="preserve">                                                 </w:t>
      </w:r>
      <w:r w:rsidR="00782AEA">
        <w:t>% ΕΕ    86.06%</w:t>
      </w:r>
      <w:r w:rsidR="00782AEA" w:rsidRPr="007D29AE">
        <w:t xml:space="preserve">   </w:t>
      </w:r>
      <w:r w:rsidR="00782AEA" w:rsidRPr="00800F92">
        <w:t xml:space="preserve"> </w:t>
      </w:r>
      <w:r w:rsidR="00782AEA" w:rsidRPr="007D29AE">
        <w:t xml:space="preserve">                                                                                           </w:t>
      </w:r>
      <w:r w:rsidR="00782AEA">
        <w:rPr>
          <w:lang w:val="en-US"/>
        </w:rPr>
        <w:t xml:space="preserve">                                    </w:t>
      </w:r>
    </w:p>
    <w:p w:rsidR="00FF5E95" w:rsidRPr="00945778" w:rsidRDefault="00EE3628" w:rsidP="00FF5E95">
      <w:pPr>
        <w:rPr>
          <w:lang w:val="en-US"/>
        </w:rPr>
      </w:pPr>
      <w:r>
        <w:rPr>
          <w:noProof/>
          <w:lang w:eastAsia="el-GR"/>
        </w:rPr>
        <w:pict>
          <v:roundrect id="_x0000_s1059" style="position:absolute;margin-left:-14.25pt;margin-top:10.95pt;width:426.75pt;height:328.7pt;z-index:251667456" arcsize="10923f">
            <v:textbox>
              <w:txbxContent>
                <w:p w:rsidR="002259B7" w:rsidRPr="002259B7" w:rsidRDefault="002259B7" w:rsidP="002259B7">
                  <w:pPr>
                    <w:spacing w:after="0"/>
                    <w:ind w:left="-142" w:hanging="567"/>
                    <w:jc w:val="both"/>
                    <w:rPr>
                      <w:lang w:val="en-US"/>
                    </w:rPr>
                  </w:pPr>
                  <w:r w:rsidRPr="002259B7">
                    <w:rPr>
                      <w:lang w:val="en-US"/>
                    </w:rPr>
                    <w:t xml:space="preserve">Sum      </w:t>
                  </w:r>
                  <w:r w:rsidRPr="00A2103A">
                    <w:rPr>
                      <w:b/>
                      <w:lang w:val="en-US"/>
                    </w:rPr>
                    <w:t>Summary:</w:t>
                  </w:r>
                  <w:r w:rsidRPr="002259B7">
                    <w:rPr>
                      <w:lang w:val="en-US"/>
                    </w:rPr>
                    <w:t xml:space="preserve"> “SIS II-Urgent Action Cyprus” </w:t>
                  </w:r>
                  <w:r>
                    <w:rPr>
                      <w:lang w:val="en-US"/>
                    </w:rPr>
                    <w:t xml:space="preserve">is </w:t>
                  </w:r>
                  <w:r w:rsidRPr="002259B7">
                    <w:rPr>
                      <w:lang w:val="en-US"/>
                    </w:rPr>
                    <w:t xml:space="preserve">a project undertaken by Cyprus Police with the purpose of upgrading the existing national system in order to </w:t>
                  </w:r>
                  <w:r w:rsidR="00A2103A">
                    <w:rPr>
                      <w:lang w:val="en-US"/>
                    </w:rPr>
                    <w:t xml:space="preserve">meet </w:t>
                  </w:r>
                  <w:r w:rsidRPr="002259B7">
                    <w:rPr>
                      <w:lang w:val="en-US"/>
                    </w:rPr>
                    <w:t>the</w:t>
                  </w:r>
                  <w:r w:rsidR="00A2103A">
                    <w:rPr>
                      <w:lang w:val="en-US"/>
                    </w:rPr>
                    <w:t xml:space="preserve"> IDC 3.0 requirements and be fully compatible with the central SIS II system. Through the upgrade of the national system</w:t>
                  </w:r>
                  <w:r w:rsidR="00C10552">
                    <w:rPr>
                      <w:lang w:val="en-US"/>
                    </w:rPr>
                    <w:t xml:space="preserve"> and the conformity to the new ICD 3.0 standards</w:t>
                  </w:r>
                  <w:r w:rsidR="00A2103A">
                    <w:rPr>
                      <w:lang w:val="en-US"/>
                    </w:rPr>
                    <w:t xml:space="preserve">, the Republic of Cyprus fulfills all the obligations set by the </w:t>
                  </w:r>
                  <w:r w:rsidR="00C10552">
                    <w:rPr>
                      <w:lang w:val="en-US"/>
                    </w:rPr>
                    <w:t xml:space="preserve">European Commission </w:t>
                  </w:r>
                  <w:r w:rsidR="00A2103A">
                    <w:rPr>
                      <w:lang w:val="en-US"/>
                    </w:rPr>
                    <w:t xml:space="preserve">and </w:t>
                  </w:r>
                  <w:r w:rsidR="00C10552">
                    <w:rPr>
                      <w:lang w:val="en-US"/>
                    </w:rPr>
                    <w:t xml:space="preserve">is able to be evaluated for </w:t>
                  </w:r>
                  <w:r w:rsidR="003F541F">
                    <w:rPr>
                      <w:lang w:val="en-US"/>
                    </w:rPr>
                    <w:t xml:space="preserve">entry in the </w:t>
                  </w:r>
                  <w:proofErr w:type="spellStart"/>
                  <w:r w:rsidR="003F541F">
                    <w:rPr>
                      <w:lang w:val="en-US"/>
                    </w:rPr>
                    <w:t>Schengen</w:t>
                  </w:r>
                  <w:proofErr w:type="spellEnd"/>
                  <w:r w:rsidR="003F541F">
                    <w:rPr>
                      <w:lang w:val="en-US"/>
                    </w:rPr>
                    <w:t xml:space="preserve"> area.</w:t>
                  </w:r>
                </w:p>
                <w:p w:rsidR="003F541F" w:rsidRDefault="003F541F" w:rsidP="00137D9D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  <w:p w:rsidR="00137D9D" w:rsidRDefault="00137D9D" w:rsidP="00137D9D">
                  <w:pPr>
                    <w:jc w:val="both"/>
                    <w:rPr>
                      <w:b/>
                      <w:lang w:val="en-US"/>
                    </w:rPr>
                  </w:pPr>
                  <w:r w:rsidRPr="00A2103A">
                    <w:rPr>
                      <w:b/>
                      <w:lang w:val="en-US"/>
                    </w:rPr>
                    <w:t xml:space="preserve">Objectives: </w:t>
                  </w:r>
                </w:p>
                <w:p w:rsidR="003F541F" w:rsidRDefault="00D67336" w:rsidP="005171EA">
                  <w:pPr>
                    <w:pStyle w:val="ListParagraph"/>
                    <w:numPr>
                      <w:ilvl w:val="0"/>
                      <w:numId w:val="10"/>
                    </w:numPr>
                    <w:jc w:val="both"/>
                    <w:rPr>
                      <w:lang w:val="en-US"/>
                    </w:rPr>
                  </w:pPr>
                  <w:r w:rsidRPr="00D67336">
                    <w:rPr>
                      <w:lang w:val="en-US"/>
                    </w:rPr>
                    <w:t xml:space="preserve">Upgrade or/and replace </w:t>
                  </w:r>
                  <w:r>
                    <w:rPr>
                      <w:lang w:val="en-US"/>
                    </w:rPr>
                    <w:t xml:space="preserve">specific hardware equipment and software systems </w:t>
                  </w:r>
                  <w:r w:rsidR="00F45B23">
                    <w:rPr>
                      <w:lang w:val="en-US"/>
                    </w:rPr>
                    <w:t>in order to achieve full compliance with the central SIS II.</w:t>
                  </w:r>
                </w:p>
                <w:p w:rsidR="00F45B23" w:rsidRDefault="00272564" w:rsidP="005171EA">
                  <w:pPr>
                    <w:pStyle w:val="ListParagraph"/>
                    <w:numPr>
                      <w:ilvl w:val="0"/>
                      <w:numId w:val="10"/>
                    </w:numPr>
                    <w:jc w:val="both"/>
                    <w:rPr>
                      <w:lang w:val="en-US"/>
                    </w:rPr>
                  </w:pPr>
                  <w:r w:rsidRPr="00056004">
                    <w:rPr>
                      <w:lang w:val="en-US"/>
                    </w:rPr>
                    <w:t xml:space="preserve">Re-development of the National System through the upgrade of the entry/exit </w:t>
                  </w:r>
                  <w:r w:rsidR="00056004" w:rsidRPr="00056004">
                    <w:rPr>
                      <w:lang w:val="en-US"/>
                    </w:rPr>
                    <w:t xml:space="preserve">application </w:t>
                  </w:r>
                  <w:r w:rsidRPr="00056004">
                    <w:rPr>
                      <w:lang w:val="en-US"/>
                    </w:rPr>
                    <w:t xml:space="preserve">and the mapping of existing national system STOPLIST to </w:t>
                  </w:r>
                  <w:proofErr w:type="spellStart"/>
                  <w:r w:rsidRPr="00056004">
                    <w:rPr>
                      <w:lang w:val="en-US"/>
                    </w:rPr>
                    <w:t>Schengen</w:t>
                  </w:r>
                  <w:proofErr w:type="spellEnd"/>
                  <w:r w:rsidRPr="00056004">
                    <w:rPr>
                      <w:lang w:val="en-US"/>
                    </w:rPr>
                    <w:t xml:space="preserve"> II</w:t>
                  </w:r>
                  <w:r w:rsidR="00056004">
                    <w:rPr>
                      <w:lang w:val="en-US"/>
                    </w:rPr>
                    <w:t xml:space="preserve"> to achieve improved and more effective management of the illegal immigration flows.</w:t>
                  </w:r>
                </w:p>
                <w:p w:rsidR="00B64995" w:rsidRDefault="00B64995" w:rsidP="005171EA">
                  <w:pPr>
                    <w:pStyle w:val="ListParagraph"/>
                    <w:numPr>
                      <w:ilvl w:val="0"/>
                      <w:numId w:val="10"/>
                    </w:numPr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Fulfillment of all obligations undertaken by the Republic of Cyprus </w:t>
                  </w:r>
                  <w:r w:rsidR="008D0779">
                    <w:rPr>
                      <w:lang w:val="en-US"/>
                    </w:rPr>
                    <w:t xml:space="preserve">so as to be ready for evaluation of entry in the </w:t>
                  </w:r>
                  <w:proofErr w:type="spellStart"/>
                  <w:r w:rsidR="008D0779">
                    <w:rPr>
                      <w:lang w:val="en-US"/>
                    </w:rPr>
                    <w:t>Schengen</w:t>
                  </w:r>
                  <w:proofErr w:type="spellEnd"/>
                  <w:r w:rsidR="008D0779">
                    <w:rPr>
                      <w:lang w:val="en-US"/>
                    </w:rPr>
                    <w:t xml:space="preserve"> area</w:t>
                  </w:r>
                </w:p>
                <w:p w:rsidR="00056004" w:rsidRPr="00056004" w:rsidRDefault="00056004" w:rsidP="00B64995">
                  <w:pPr>
                    <w:pStyle w:val="ListParagraph"/>
                    <w:jc w:val="both"/>
                    <w:rPr>
                      <w:lang w:val="en-US"/>
                    </w:rPr>
                  </w:pPr>
                </w:p>
                <w:p w:rsidR="00137D9D" w:rsidRPr="00137D9D" w:rsidRDefault="00137D9D" w:rsidP="00137D9D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  <w:p w:rsidR="005B11CD" w:rsidRDefault="005B11CD" w:rsidP="00435FEA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  <w:p w:rsidR="005B11CD" w:rsidRDefault="005B11CD" w:rsidP="00435FEA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  <w:p w:rsidR="005B11CD" w:rsidRPr="0097114B" w:rsidRDefault="005B11CD" w:rsidP="00435FEA">
                  <w:pPr>
                    <w:jc w:val="both"/>
                    <w:rPr>
                      <w:lang w:val="en-US"/>
                    </w:rPr>
                  </w:pPr>
                </w:p>
              </w:txbxContent>
            </v:textbox>
          </v:roundrect>
        </w:pict>
      </w:r>
    </w:p>
    <w:p w:rsidR="00FF5E95" w:rsidRDefault="00FF5E95" w:rsidP="00FF5E95">
      <w:pPr>
        <w:rPr>
          <w:lang w:val="en-US"/>
        </w:rPr>
      </w:pPr>
    </w:p>
    <w:p w:rsidR="00FF5E95" w:rsidRDefault="00FF5E95" w:rsidP="00FF5E95">
      <w:pPr>
        <w:rPr>
          <w:lang w:val="en-US"/>
        </w:rPr>
      </w:pPr>
    </w:p>
    <w:p w:rsidR="00FF5E95" w:rsidRPr="00FF5E95" w:rsidRDefault="00FF5E95" w:rsidP="00FF5E95">
      <w:pPr>
        <w:rPr>
          <w:lang w:val="en-US"/>
        </w:rPr>
      </w:pPr>
    </w:p>
    <w:p w:rsidR="00FF5E95" w:rsidRPr="00945778" w:rsidRDefault="00FF5E95" w:rsidP="00FF5E95">
      <w:pPr>
        <w:rPr>
          <w:lang w:val="en-US"/>
        </w:rPr>
      </w:pPr>
    </w:p>
    <w:p w:rsidR="00FF5E95" w:rsidRPr="00945778" w:rsidRDefault="00FF5E95" w:rsidP="00FF5E95">
      <w:pPr>
        <w:rPr>
          <w:lang w:val="en-US"/>
        </w:rPr>
      </w:pPr>
    </w:p>
    <w:p w:rsidR="00FF5E95" w:rsidRPr="00945778" w:rsidRDefault="00FF5E95" w:rsidP="00FF5E95">
      <w:pPr>
        <w:rPr>
          <w:lang w:val="en-US"/>
        </w:rPr>
      </w:pPr>
    </w:p>
    <w:p w:rsidR="00FF5E95" w:rsidRPr="00945778" w:rsidRDefault="00FF5E95" w:rsidP="00FF5E95">
      <w:pPr>
        <w:rPr>
          <w:lang w:val="en-US"/>
        </w:rPr>
      </w:pPr>
    </w:p>
    <w:p w:rsidR="00FF5E95" w:rsidRPr="00945778" w:rsidRDefault="00FF5E95" w:rsidP="00FF5E95">
      <w:pPr>
        <w:rPr>
          <w:lang w:val="en-US"/>
        </w:rPr>
      </w:pPr>
    </w:p>
    <w:p w:rsidR="00FF5E95" w:rsidRPr="00945778" w:rsidRDefault="00FF5E95" w:rsidP="00FF5E95">
      <w:pPr>
        <w:rPr>
          <w:lang w:val="en-US"/>
        </w:rPr>
      </w:pPr>
    </w:p>
    <w:p w:rsidR="00FF5E95" w:rsidRPr="00945778" w:rsidRDefault="00FF5E95" w:rsidP="00FF5E95">
      <w:pPr>
        <w:rPr>
          <w:lang w:val="en-US"/>
        </w:rPr>
      </w:pPr>
    </w:p>
    <w:p w:rsidR="001A7D8B" w:rsidRPr="00945778" w:rsidRDefault="00FF5E95" w:rsidP="00FF5E95">
      <w:pPr>
        <w:tabs>
          <w:tab w:val="left" w:pos="2775"/>
        </w:tabs>
        <w:rPr>
          <w:lang w:val="en-US"/>
        </w:rPr>
      </w:pPr>
      <w:r w:rsidRPr="00945778">
        <w:rPr>
          <w:lang w:val="en-US"/>
        </w:rPr>
        <w:tab/>
      </w:r>
    </w:p>
    <w:sectPr w:rsidR="001A7D8B" w:rsidRPr="00945778" w:rsidSect="001A7D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117EF"/>
    <w:multiLevelType w:val="hybridMultilevel"/>
    <w:tmpl w:val="CA406F0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7207F"/>
    <w:multiLevelType w:val="hybridMultilevel"/>
    <w:tmpl w:val="F56E3BB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D57BB"/>
    <w:multiLevelType w:val="hybridMultilevel"/>
    <w:tmpl w:val="C1C89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F2871"/>
    <w:multiLevelType w:val="hybridMultilevel"/>
    <w:tmpl w:val="B1C8DF3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E3FFD"/>
    <w:multiLevelType w:val="hybridMultilevel"/>
    <w:tmpl w:val="AC70F05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F3C49"/>
    <w:multiLevelType w:val="hybridMultilevel"/>
    <w:tmpl w:val="DDD015F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521F5"/>
    <w:multiLevelType w:val="hybridMultilevel"/>
    <w:tmpl w:val="F77C1B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A0235"/>
    <w:multiLevelType w:val="hybridMultilevel"/>
    <w:tmpl w:val="AA0638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256CFC"/>
    <w:multiLevelType w:val="hybridMultilevel"/>
    <w:tmpl w:val="AD9E0E60"/>
    <w:lvl w:ilvl="0" w:tplc="0408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6DD71D7A"/>
    <w:multiLevelType w:val="hybridMultilevel"/>
    <w:tmpl w:val="122C664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3C33"/>
    <w:rsid w:val="00026911"/>
    <w:rsid w:val="00027A20"/>
    <w:rsid w:val="00056004"/>
    <w:rsid w:val="000877D9"/>
    <w:rsid w:val="000C3850"/>
    <w:rsid w:val="000F4D69"/>
    <w:rsid w:val="000F60E6"/>
    <w:rsid w:val="00137D9D"/>
    <w:rsid w:val="0015180B"/>
    <w:rsid w:val="001A2BFF"/>
    <w:rsid w:val="001A7D8B"/>
    <w:rsid w:val="00224C8E"/>
    <w:rsid w:val="002259B7"/>
    <w:rsid w:val="002418D1"/>
    <w:rsid w:val="00272564"/>
    <w:rsid w:val="00275F70"/>
    <w:rsid w:val="002826B5"/>
    <w:rsid w:val="00291D3D"/>
    <w:rsid w:val="002A06AE"/>
    <w:rsid w:val="002B6B59"/>
    <w:rsid w:val="00313F77"/>
    <w:rsid w:val="00380D8C"/>
    <w:rsid w:val="00380EED"/>
    <w:rsid w:val="003E0BF5"/>
    <w:rsid w:val="003F541F"/>
    <w:rsid w:val="00400BA2"/>
    <w:rsid w:val="00402222"/>
    <w:rsid w:val="0040629F"/>
    <w:rsid w:val="0040733C"/>
    <w:rsid w:val="00412E98"/>
    <w:rsid w:val="00413448"/>
    <w:rsid w:val="00435FEA"/>
    <w:rsid w:val="00481D69"/>
    <w:rsid w:val="004839C4"/>
    <w:rsid w:val="004B1439"/>
    <w:rsid w:val="004E0E5C"/>
    <w:rsid w:val="005171EA"/>
    <w:rsid w:val="00546CD1"/>
    <w:rsid w:val="00557FA7"/>
    <w:rsid w:val="00563EE7"/>
    <w:rsid w:val="005B11CD"/>
    <w:rsid w:val="005C25B0"/>
    <w:rsid w:val="0061433C"/>
    <w:rsid w:val="00625492"/>
    <w:rsid w:val="006353D8"/>
    <w:rsid w:val="006A75B6"/>
    <w:rsid w:val="006F2BD1"/>
    <w:rsid w:val="00722945"/>
    <w:rsid w:val="0075543D"/>
    <w:rsid w:val="00782AEA"/>
    <w:rsid w:val="008758C1"/>
    <w:rsid w:val="008B1DD5"/>
    <w:rsid w:val="008D0779"/>
    <w:rsid w:val="00945778"/>
    <w:rsid w:val="0096258E"/>
    <w:rsid w:val="0097114B"/>
    <w:rsid w:val="009C2338"/>
    <w:rsid w:val="00A2103A"/>
    <w:rsid w:val="00A63C33"/>
    <w:rsid w:val="00A76A64"/>
    <w:rsid w:val="00AF7324"/>
    <w:rsid w:val="00B64995"/>
    <w:rsid w:val="00C10552"/>
    <w:rsid w:val="00C63F2B"/>
    <w:rsid w:val="00C90143"/>
    <w:rsid w:val="00CA4F9C"/>
    <w:rsid w:val="00CD4150"/>
    <w:rsid w:val="00D15AE1"/>
    <w:rsid w:val="00D31D70"/>
    <w:rsid w:val="00D524D1"/>
    <w:rsid w:val="00D67336"/>
    <w:rsid w:val="00D77590"/>
    <w:rsid w:val="00D90B02"/>
    <w:rsid w:val="00DB27D1"/>
    <w:rsid w:val="00E062A8"/>
    <w:rsid w:val="00E96D80"/>
    <w:rsid w:val="00EA5E3C"/>
    <w:rsid w:val="00EE3628"/>
    <w:rsid w:val="00F41E51"/>
    <w:rsid w:val="00F42E84"/>
    <w:rsid w:val="00F441A7"/>
    <w:rsid w:val="00F45B23"/>
    <w:rsid w:val="00F7262E"/>
    <w:rsid w:val="00F82383"/>
    <w:rsid w:val="00FA6678"/>
    <w:rsid w:val="00FF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8" type="connector" idref="#_x0000_s1078"/>
        <o:r id="V:Rule10" type="connector" idref="#_x0000_s1082"/>
        <o:r id="V:Rule12" type="connector" idref="#_x0000_s1083"/>
        <o:r id="V:Rule16" type="connector" idref="#_x0000_s10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5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</dc:creator>
  <cp:keywords/>
  <dc:description/>
  <cp:lastModifiedBy>police</cp:lastModifiedBy>
  <cp:revision>41</cp:revision>
  <dcterms:created xsi:type="dcterms:W3CDTF">2012-03-15T11:17:00Z</dcterms:created>
  <dcterms:modified xsi:type="dcterms:W3CDTF">2013-04-29T07:38:00Z</dcterms:modified>
</cp:coreProperties>
</file>